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简体" w:eastAsia="方正小标宋简体"/>
          <w:b/>
          <w:bCs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 w:val="0"/>
          <w:sz w:val="44"/>
          <w:szCs w:val="44"/>
        </w:rPr>
        <w:t>泸县20</w:t>
      </w:r>
      <w:r>
        <w:rPr>
          <w:rFonts w:hint="eastAsia" w:ascii="方正小标宋简体" w:eastAsia="方正小标宋简体"/>
          <w:b/>
          <w:bCs w:val="0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b/>
          <w:bCs w:val="0"/>
          <w:sz w:val="44"/>
          <w:szCs w:val="44"/>
        </w:rPr>
        <w:t>年“三公”经费预算</w:t>
      </w:r>
      <w:bookmarkEnd w:id="0"/>
    </w:p>
    <w:p>
      <w:pPr>
        <w:spacing w:line="720" w:lineRule="exact"/>
        <w:jc w:val="center"/>
        <w:rPr>
          <w:rFonts w:hint="eastAsia" w:ascii="方正小标宋简体" w:eastAsia="方正小标宋简体"/>
          <w:b/>
          <w:bCs w:val="0"/>
          <w:sz w:val="44"/>
          <w:szCs w:val="44"/>
        </w:rPr>
      </w:pPr>
      <w:r>
        <w:rPr>
          <w:rFonts w:hint="eastAsia" w:ascii="方正小标宋简体" w:eastAsia="方正小标宋简体"/>
          <w:b/>
          <w:bCs w:val="0"/>
          <w:sz w:val="44"/>
          <w:szCs w:val="44"/>
        </w:rPr>
        <w:t>汇总情况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按照省、市推进政府预算信息公开要求，经县财政局汇总，20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年县级行政单位（含参照公务员法管理的事业单位）、事业单位、各镇和其他单位使用财政拨款安排“三公”经费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6.16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%。其中：因公出国（境）经费1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6.49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%；公务用车购置及运行维护费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6.77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泸县20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支出减少主要是全县贯彻落实中央八项规定精神，厉行节约,加强公务用车管理，规范公务接待活动，减少了相关支出。</w:t>
      </w:r>
    </w:p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73728"/>
    <w:rsid w:val="7F2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2022-09-16T05:57:00Z</dcterms:created>
  <dc:creator>20180812</dc:creator>
  <cp:lastModifiedBy>20180812</cp:lastModifiedBy>
  <dcterms:modified xsi:type="dcterms:W3CDTF">2022-09-16T05:58:17Z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